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4"/>
        <w:jc w:val="center"/>
        <w:textAlignment w:val="baseline"/>
        <w:rPr>
          <w:rFonts w:hint="default" w:ascii="Tahoma" w:hAnsi="Tahoma" w:eastAsia="Tahoma" w:cs="Tahoma"/>
          <w:b w:val="0"/>
          <w:bCs w:val="0"/>
          <w:i w:val="0"/>
          <w:iCs w:val="0"/>
          <w:caps w:val="0"/>
          <w:color w:val="000000" w:themeColor="text1"/>
          <w:spacing w:val="0"/>
          <w:sz w:val="21"/>
          <w:szCs w:val="21"/>
          <w14:textFill>
            <w14:solidFill>
              <w14:schemeClr w14:val="tx1"/>
            </w14:solidFill>
          </w14:textFill>
        </w:rPr>
      </w:pPr>
      <w:r>
        <w:rPr>
          <w:rFonts w:hint="default" w:ascii="方正小标宋简体" w:hAnsi="方正小标宋简体" w:eastAsia="方正小标宋简体" w:cs="方正小标宋简体"/>
          <w:b/>
          <w:bCs/>
          <w:i w:val="0"/>
          <w:iCs w:val="0"/>
          <w:caps w:val="0"/>
          <w:color w:val="000000" w:themeColor="text1"/>
          <w:spacing w:val="13"/>
          <w:sz w:val="44"/>
          <w:szCs w:val="44"/>
          <w:vertAlign w:val="baseline"/>
          <w14:textFill>
            <w14:solidFill>
              <w14:schemeClr w14:val="tx1"/>
            </w14:solidFill>
          </w14:textFill>
        </w:rPr>
        <w:t>竞买规则及须知</w:t>
      </w:r>
      <w:r>
        <w:rPr>
          <w:rFonts w:hint="default" w:ascii="Tahoma" w:hAnsi="Tahoma" w:eastAsia="Tahoma" w:cs="Tahoma"/>
          <w:b/>
          <w:bCs/>
          <w:i w:val="0"/>
          <w:iCs w:val="0"/>
          <w:caps w:val="0"/>
          <w:color w:val="000000" w:themeColor="text1"/>
          <w:spacing w:val="13"/>
          <w:sz w:val="32"/>
          <w:szCs w:val="32"/>
          <w:vertAlign w:val="baseline"/>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0"/>
          <w:sz w:val="30"/>
          <w:szCs w:val="30"/>
          <w:vertAlign w:val="baseline"/>
          <w14:textFill>
            <w14:solidFill>
              <w14:schemeClr w14:val="tx1"/>
            </w14:solidFill>
          </w14:textFill>
        </w:rPr>
        <w:t>受委托，荆州市</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国信产权交易中心有限公司对</w:t>
      </w:r>
      <w:r>
        <w:rPr>
          <w:rFonts w:hint="eastAsia" w:ascii="仿宋" w:hAnsi="仿宋" w:eastAsia="仿宋" w:cs="仿宋"/>
          <w:b w:val="0"/>
          <w:bCs w:val="0"/>
          <w:i w:val="0"/>
          <w:iCs w:val="0"/>
          <w:caps w:val="0"/>
          <w:color w:val="000000" w:themeColor="text1"/>
          <w:spacing w:val="0"/>
          <w:sz w:val="30"/>
          <w:szCs w:val="30"/>
          <w:vertAlign w:val="baseline"/>
          <w:lang w:val="en-US" w:eastAsia="zh-CN"/>
          <w14:textFill>
            <w14:solidFill>
              <w14:schemeClr w14:val="tx1"/>
            </w14:solidFill>
          </w14:textFill>
        </w:rPr>
        <w:t>鄂D7055警、鄂D7177警、鄂D7337警、鄂D7070警、鄂D8588警、鄂D7133警、鄂D8689警、鄂DH6372、鄂D8188警、鄂D8222警十台车辆</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进行公开网络竞价。网络竞价活动由淘宝（中国）软件有限公司和支付宝（中国）网络技术有限公司提供技术支持和服务。依据《湖北省国有资产产权交易管理暂行办法》等法律法规和相关规定，将竞买人参与本次车辆网络竞价的竞价规则及须知告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一、竞买人资格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49"/>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具有完全民事行为能力的自然人和中国境内合法存续的法人或其他组织均可。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免责提示：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1、本次网络竞价车辆以现状进行，车辆的罚款及违章记录均已消除完毕，车辆年检、交强险以现状为准请竞买人自行查验清楚。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2、车辆落户地为荆州市的，买受人为非荆州市居民户籍的，须有荆州市居住证，请竞买人务必提前办理；买受人为法人的，《组织机构代码证》或三证合一的《营业执照》注册地址须在荆州市。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3、据咨询荆州市交通管理部门，19座以上二手大型汽车的买受人须为法人或其他组织。9座以上现挂蓝色小车牌照的车辆按新规定过户后将换为黄色大车牌照，请竞买人谨慎竞买。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4、竞买人凡参与网络竞价活动即视作其已确认自身具备所竞买车辆的竞买资格和相关过户条件，已认可并接受本次《网络竞价公告》、《网络竞价规则及须知》（简称“《竞买公告》、《竞买规则及须知》”）等相关配套文件以及淘宝网有关平台操作规则的所有内容，已在参与竞价前到车辆展示地查验了标的，对标的可能存在的瑕疵（包括车辆本身及各项设施配置情况和质量、技术状况、与车辆有关的证照资料信息等瑕疵）认可且接受，并同意遵照上述相关配套文件要求参与竞买活动。交易中心及委托方不承担标的瑕疵和质量担保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二、网络竞价程序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（一）用户账户注册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本次处置车辆的竞价活动全部通过网上进行，竞买人首先需注册淘宝网账户，并完成支付宝账户实名认证。账户注册及实名认证请登陆</w:t>
      </w:r>
      <w:r>
        <w:rPr>
          <w:rFonts w:hint="eastAsia" w:ascii="仿宋" w:hAnsi="仿宋" w:eastAsia="仿宋" w:cs="仿宋"/>
          <w:b w:val="0"/>
          <w:bCs w:val="0"/>
          <w:i w:val="0"/>
          <w:iCs w:val="0"/>
          <w:caps w:val="0"/>
          <w:color w:val="000000" w:themeColor="text1"/>
          <w:spacing w:val="0"/>
          <w:sz w:val="30"/>
          <w:szCs w:val="30"/>
          <w:vertAlign w:val="baseline"/>
          <w14:textFill>
            <w14:solidFill>
              <w14:schemeClr w14:val="tx1"/>
            </w14:solidFill>
          </w14:textFill>
        </w:rPr>
        <w:t>荆州市</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网（www.jzcqzx.com）进入“荆州市公务车改车辆网络竞价专题”页面，再进入网络竞价系统后，点击“免费注册”，按照页面提示完成。如果您已有淘宝网账户并已实名认证，则无需再次注册。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法人或其他组织需参与竞买的，由法定代表人或其授权代表人使用其个人淘宝网账户参与竞买，竞买成交后按本须知第四（三）条规定提供相关手续，办理车辆过户。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（二）竞买登录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竞买人应于本次车辆网络竞价《竞买公告》规定的公告期和竞价时间内登陆</w:t>
      </w:r>
      <w:r>
        <w:rPr>
          <w:rFonts w:hint="eastAsia" w:ascii="仿宋" w:hAnsi="仿宋" w:eastAsia="仿宋" w:cs="仿宋"/>
          <w:b w:val="0"/>
          <w:bCs w:val="0"/>
          <w:i w:val="0"/>
          <w:iCs w:val="0"/>
          <w:caps w:val="0"/>
          <w:color w:val="000000" w:themeColor="text1"/>
          <w:spacing w:val="0"/>
          <w:sz w:val="30"/>
          <w:szCs w:val="30"/>
          <w:vertAlign w:val="baseline"/>
          <w14:textFill>
            <w14:solidFill>
              <w14:schemeClr w14:val="tx1"/>
            </w14:solidFill>
          </w14:textFill>
        </w:rPr>
        <w:t>荆州市</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网（www.jzcqzx.com），进入“荆州市公务车改车辆网络竞价专题”页面，查看《竞买公告》、《竞买规则及须知》等文件和车辆明细信息，如需竞买可点击“报名交保证金”按钮，根据提示登陆淘宝账户，完成报名和保证金交纳程序，在竞价开始后即可进行竞买报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（三）加价幅度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竞买人出价不得低于起始价，每次加价金额应为加价幅度的整数倍。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车辆起始价在20,000元以下的，每次竞价加价幅度为200元；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31"/>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起始价在20,000元（含）以上100,000元以下的，每次竞价加价幅度为500元；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起始价在100,000元（含）以上的，每次竞价加价幅度为1,000元。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（四）网络竞价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每辆车的网络竞价分为自由竞价周期和延时竞价周期（淘宝网分别称为“竞价周期”和“延时周期”）两个阶段。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自由竞价周期：</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每辆车自由竞价周期为9小时，在此期间竞买人可随时出价，自由竞价周期开始时间以本次车辆《竞买公告》为准。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延时竞价周期：</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即当自由竞价周期结束前的5分钟之内，如果有新的报价出现，则延时竞价周期启动，并在此次出价的时间基础上系统自动延长竞价时间5分钟，若在延长的5分钟内又有新的报价出现，则从新的报价时间起再延长5分钟的竞价时间，如此循环往复直到某个延时周期结束没有新的报价出现，则竞价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上述时间以技术支持方的服务器时间和服务器接收出价的时间为准。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特别提示：因延时竞价时间很短，竞买人如拟参与某辆车的竞买，应当在自由竞价周期结束前完成报名和支付保证金，以免耽误竞买出价。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如果竞买人在竞价期已经对某辆车实际出价，应当在竞价结束前及时关注出价和成交情况。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（五）竞价成交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1、竞价结束时，系统按“价格优先、时间优先”原则确定最高报价及买受人，并自动弹出成交提示信息，</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同时在“</w:t>
      </w:r>
      <w:r>
        <w:rPr>
          <w:rFonts w:hint="eastAsia" w:ascii="仿宋" w:hAnsi="仿宋" w:eastAsia="仿宋" w:cs="仿宋"/>
          <w:b w:val="0"/>
          <w:bCs w:val="0"/>
          <w:i w:val="0"/>
          <w:iCs w:val="0"/>
          <w:caps w:val="0"/>
          <w:color w:val="000000" w:themeColor="text1"/>
          <w:spacing w:val="0"/>
          <w:sz w:val="30"/>
          <w:szCs w:val="30"/>
          <w:vertAlign w:val="baseline"/>
          <w14:textFill>
            <w14:solidFill>
              <w14:schemeClr w14:val="tx1"/>
            </w14:solidFill>
          </w14:textFill>
        </w:rPr>
        <w:t>荆州市</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网”发布成交结果。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2、请竞买人登陆</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网（www.jzcqzx.com）---- “荆州市公务车改车辆网络竞价专题”页面点击“我的竞价中心”，查看自己报名竞价和已成交的车辆信息。最后按《竞买公告》和本须知规定及时办理价款、费用支付和过户提车手续。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三、竞买保证金缴纳注意事项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（一）竞买保证金按车交纳，每辆车的竞买保证金为人民币1万元，</w:t>
      </w:r>
      <w:r>
        <w:rPr>
          <w:rFonts w:hint="eastAsia" w:ascii="仿宋" w:hAnsi="仿宋" w:eastAsia="仿宋" w:cs="仿宋"/>
          <w:b w:val="0"/>
          <w:bCs w:val="0"/>
          <w:i w:val="0"/>
          <w:iCs w:val="0"/>
          <w:caps w:val="0"/>
          <w:color w:val="000000" w:themeColor="text1"/>
          <w:spacing w:val="0"/>
          <w:sz w:val="30"/>
          <w:szCs w:val="30"/>
          <w:vertAlign w:val="baseline"/>
          <w14:textFill>
            <w14:solidFill>
              <w14:schemeClr w14:val="tx1"/>
            </w14:solidFill>
          </w14:textFill>
        </w:rPr>
        <w:t>竞买成功后，竞买保证金自动转为过户保证金</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。竞买保证金交纳方式按照网络竞价页面提示自行通过网上支付。</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建议竞买人提前通过充值方式（需使用借记卡）向本人支付宝账户充入足够的资金，以节省保证金支付和退还时间。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（二）参与竞价时，支付宝账户内的相应竞买保证金将被冻结直至竞价结束。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（三）竞价结束后，买受人（即成交人）的竞买保证金将由竞价系统自动划入交易中心账户，自动转为车辆过户保证金，买受人将车辆过户完毕后5个工作日内无息退还。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（四）买受人应按本须知规定提交有关过户资料、签署相关文件，全额支付成交价款、交易费用、相关过户税费，配合完成车辆过户、按时提车。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四、办理成交手续及付款注意事项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（一）买受人在本次车改车辆网络竞价结束后下一个工作日到车辆展示地点</w:t>
      </w:r>
      <w:r>
        <w:rPr>
          <w:rFonts w:hint="eastAsia" w:ascii="仿宋" w:hAnsi="仿宋" w:eastAsia="仿宋" w:cs="仿宋"/>
          <w:b/>
          <w:bCs/>
          <w:i w:val="0"/>
          <w:iCs w:val="0"/>
          <w:caps w:val="0"/>
          <w:color w:val="000000" w:themeColor="text1"/>
          <w:spacing w:val="13"/>
          <w:sz w:val="30"/>
          <w:szCs w:val="30"/>
          <w:vertAlign w:val="baseline"/>
          <w:lang w:val="en-US" w:eastAsia="zh-CN"/>
          <w14:textFill>
            <w14:solidFill>
              <w14:schemeClr w14:val="tx1"/>
            </w14:solidFill>
          </w14:textFill>
        </w:rPr>
        <w:t>洪湖市汽车报废回收中心（洪湖市乌林大道180号）</w:t>
      </w:r>
      <w:bookmarkStart w:id="0" w:name="_GoBack"/>
      <w:bookmarkEnd w:id="0"/>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办理车辆成交确认手续，现场签署《网络竞价成交确认书》、《竞买人承诺书》等文件，填制提交《机动车转移登记申请表》等过户资料，并当场全额支付车辆成交价款、交易费用及过户税费。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买受人确因特殊情况不能按时办理成交确认手续的，应当先在规定办理时间内将成交价款、交易费用和各项税费转入交易中心指定银行账户，同时向邮箱：</w:t>
      </w:r>
      <w:r>
        <w:rPr>
          <w:rFonts w:hint="eastAsia" w:ascii="仿宋" w:hAnsi="仿宋" w:eastAsia="仿宋" w:cs="仿宋"/>
          <w:b w:val="0"/>
          <w:bCs w:val="0"/>
          <w:i w:val="0"/>
          <w:iCs w:val="0"/>
          <w:caps w:val="0"/>
          <w:color w:val="000000" w:themeColor="text1"/>
          <w:spacing w:val="13"/>
          <w:sz w:val="30"/>
          <w:szCs w:val="30"/>
          <w:u w:val="single"/>
          <w:vertAlign w:val="baseline"/>
          <w14:textFill>
            <w14:solidFill>
              <w14:schemeClr w14:val="tx1"/>
            </w14:solidFill>
          </w14:textFill>
        </w:rPr>
        <w:t>3014933415</w:t>
      </w:r>
      <w:r>
        <w:rPr>
          <w:rFonts w:hint="eastAsia" w:ascii="仿宋" w:hAnsi="仿宋" w:eastAsia="仿宋" w:cs="仿宋"/>
          <w:b w:val="0"/>
          <w:bCs w:val="0"/>
          <w:i w:val="0"/>
          <w:iCs w:val="0"/>
          <w:caps w:val="0"/>
          <w:color w:val="000000" w:themeColor="text1"/>
          <w:spacing w:val="0"/>
          <w:sz w:val="21"/>
          <w:szCs w:val="21"/>
          <w:vertAlign w:val="baseline"/>
          <w14:textFill>
            <w14:solidFill>
              <w14:schemeClr w14:val="tx1"/>
            </w14:solidFill>
          </w14:textFill>
        </w:rPr>
        <w:fldChar w:fldCharType="begin"/>
      </w:r>
      <w:r>
        <w:rPr>
          <w:rFonts w:hint="eastAsia" w:ascii="仿宋" w:hAnsi="仿宋" w:eastAsia="仿宋" w:cs="仿宋"/>
          <w:b w:val="0"/>
          <w:bCs w:val="0"/>
          <w:i w:val="0"/>
          <w:iCs w:val="0"/>
          <w:caps w:val="0"/>
          <w:color w:val="000000" w:themeColor="text1"/>
          <w:spacing w:val="0"/>
          <w:sz w:val="21"/>
          <w:szCs w:val="21"/>
          <w:vertAlign w:val="baseline"/>
          <w14:textFill>
            <w14:solidFill>
              <w14:schemeClr w14:val="tx1"/>
            </w14:solidFill>
          </w14:textFill>
        </w:rPr>
        <w:instrText xml:space="preserve"> HYPERLINK "https://zc-item.taobao.com/auction/602756266681.htm?spm=a2166.30960.62765.3.181a6d7aLM6501" </w:instrText>
      </w:r>
      <w:r>
        <w:rPr>
          <w:rFonts w:hint="eastAsia" w:ascii="仿宋" w:hAnsi="仿宋" w:eastAsia="仿宋" w:cs="仿宋"/>
          <w:b w:val="0"/>
          <w:bCs w:val="0"/>
          <w:i w:val="0"/>
          <w:iCs w:val="0"/>
          <w:caps w:val="0"/>
          <w:color w:val="000000" w:themeColor="text1"/>
          <w:spacing w:val="0"/>
          <w:sz w:val="21"/>
          <w:szCs w:val="21"/>
          <w:vertAlign w:val="baseline"/>
          <w14:textFill>
            <w14:solidFill>
              <w14:schemeClr w14:val="tx1"/>
            </w14:solidFill>
          </w14:textFill>
        </w:rPr>
        <w:fldChar w:fldCharType="separate"/>
      </w:r>
      <w:r>
        <w:rPr>
          <w:rStyle w:val="5"/>
          <w:rFonts w:hint="eastAsia" w:ascii="仿宋" w:hAnsi="仿宋" w:eastAsia="仿宋" w:cs="仿宋"/>
          <w:b w:val="0"/>
          <w:bCs w:val="0"/>
          <w:i w:val="0"/>
          <w:iCs w:val="0"/>
          <w:caps w:val="0"/>
          <w:color w:val="000000" w:themeColor="text1"/>
          <w:spacing w:val="13"/>
          <w:sz w:val="30"/>
          <w:szCs w:val="30"/>
          <w:u w:val="single"/>
          <w:vertAlign w:val="baseline"/>
          <w14:textFill>
            <w14:solidFill>
              <w14:schemeClr w14:val="tx1"/>
            </w14:solidFill>
          </w14:textFill>
        </w:rPr>
        <w:t>@qq.com</w:t>
      </w:r>
      <w:r>
        <w:rPr>
          <w:rFonts w:hint="eastAsia" w:ascii="仿宋" w:hAnsi="仿宋" w:eastAsia="仿宋" w:cs="仿宋"/>
          <w:b w:val="0"/>
          <w:bCs w:val="0"/>
          <w:i w:val="0"/>
          <w:iCs w:val="0"/>
          <w:caps w:val="0"/>
          <w:color w:val="000000" w:themeColor="text1"/>
          <w:spacing w:val="0"/>
          <w:sz w:val="21"/>
          <w:szCs w:val="21"/>
          <w:vertAlign w:val="baseline"/>
          <w14:textFill>
            <w14:solidFill>
              <w14:schemeClr w14:val="tx1"/>
            </w14:solidFill>
          </w14:textFill>
        </w:rPr>
        <w:fldChar w:fldCharType="end"/>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发送延迟办理（延迟办理时间最长不超过4个工作日）申请邮件，说明原因和延迟时间,交易中心确认款项收到后,发送是否同意的回复意见。买受人在批准延迟期内办理手续的，不作违约处理，但因延迟办理产生的相关风险和费用由买受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52"/>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买受人未按上述规定办理成交确认手续和付款的，应当承担违约责任，其竞买保证金不予退还，交易中心和委托方有权将该车辆收回再行处置。车辆再行处置的，原买受人应当支付第一次处置中本人及委托人应当支付的交易佣金；再行处置的价款低于原成交价款的，原买受人应当补足差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（二）由买受人承担的费用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1、佣金：车辆成交价的5%（因淘宝平台2019年8月1日后的收费政策发生变化，该车辆交易佣金相应调整如下：买受人竞买成交后向交易中心支付4%的交易费用以及向淘宝平台支付1%的软件服务费）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2、车辆转移登记过户费用：以车管部门实际收费标准为准。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以上除佣金外，其余税费如遇国家政策或收费标准变化，则以相关规定为准。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3、其他费用。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①本次处置车辆以现状为准，车辆过户时交强险到期的，买受人应当先自行购买交强险；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②竞买车辆为购置附加税免税车辆的，买受人应根据国家税务总局令第33号《车辆购置税征收管理办法》规定，到主管税务机关重新申报纳税。</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对无车辆购置附加税证（或凭证）的车辆，交易中心无法确认该车是否已纳税或是否为免税车辆，竞买人竞买无附加税证或注明为免税的车辆前,应自行到相关部门查询了解和咨询办理手续，对竞买成交后可能发生的费用及风险由买受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③本次竞买部分车辆为原执法车辆,买受人缴清成交价款后，应根据相关部门的规定,需改变原执法车辆的车身颜色后才能办理车辆过户手续。改变车身颜色产生的一切费用由买受人自行承担。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（三）办理成交确认手续须携带以下相关资料：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1、买受人为自然人的，需提供有效的本人在淘宝实名认证的身份证原件及正反面复印件3份，身份证信息须与淘宝注册及实名认证的信息一致；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2、买受人为法人的，需由代表其参与网上竞价的自然人亲自办理成交确认手续，并提供以下资料：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（1）本人身份证原件和正反面复印件3份（加盖单位公章）；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（2）《法人机构委托代理人竞买车辆证明书》（请在交易中心网站下载填写，并加盖单位公章）；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（3）单位《组织机构代码证》或三证合一的《营业执照》原件和复印件3份（加盖单位公章）；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（4）单位法定代表人身份证复印件3份（加盖单位公章）。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（四）款项支付注意事项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1、买受人通过银行转账方式交纳成交价款、佣金及过户相关税费，不接受现金交款。</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采用转账方式付款的，以银行到账时间为准，转账时须使用买受人本人银行账户进行转账，并在备注栏（或用途栏）中注明所竞买车辆的“编号及车牌号”，否则导致无法核实账款的事项由买受人自行负责。转账支付时若需第三方代付，请当场与交易中心签署《第三方代付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收款账户如下：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户  名：</w:t>
      </w:r>
      <w:r>
        <w:rPr>
          <w:rFonts w:hint="eastAsia" w:ascii="仿宋" w:hAnsi="仿宋" w:eastAsia="仿宋" w:cs="仿宋"/>
          <w:b/>
          <w:bCs/>
          <w:i w:val="0"/>
          <w:iCs w:val="0"/>
          <w:caps w:val="0"/>
          <w:color w:val="000000" w:themeColor="text1"/>
          <w:spacing w:val="13"/>
          <w:sz w:val="30"/>
          <w:szCs w:val="30"/>
          <w:u w:val="single"/>
          <w:vertAlign w:val="baseline"/>
          <w:lang w:eastAsia="zh-CN"/>
          <w14:textFill>
            <w14:solidFill>
              <w14:schemeClr w14:val="tx1"/>
            </w14:solidFill>
          </w14:textFill>
        </w:rPr>
        <w:t>荆州市国信产权交易中心有限公司</w:t>
      </w:r>
      <w:r>
        <w:rPr>
          <w:rFonts w:hint="eastAsia" w:ascii="仿宋" w:hAnsi="仿宋" w:eastAsia="仿宋" w:cs="仿宋"/>
          <w:b/>
          <w:bCs/>
          <w:i w:val="0"/>
          <w:iCs w:val="0"/>
          <w:caps w:val="0"/>
          <w:color w:val="000000" w:themeColor="text1"/>
          <w:spacing w:val="13"/>
          <w:sz w:val="30"/>
          <w:szCs w:val="30"/>
          <w:u w:val="single"/>
          <w:vertAlign w:val="baseline"/>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账</w:t>
      </w:r>
      <w:r>
        <w:rPr>
          <w:rFonts w:hint="eastAsia" w:ascii="仿宋" w:hAnsi="仿宋" w:eastAsia="仿宋" w:cs="仿宋"/>
          <w:b/>
          <w:bCs/>
          <w:i w:val="0"/>
          <w:iCs w:val="0"/>
          <w:caps w:val="0"/>
          <w:color w:val="000000" w:themeColor="text1"/>
          <w:spacing w:val="13"/>
          <w:sz w:val="30"/>
          <w:szCs w:val="30"/>
          <w:vertAlign w:val="baseline"/>
          <w:lang w:val="en-US" w:eastAsia="zh-CN"/>
          <w14:textFill>
            <w14:solidFill>
              <w14:schemeClr w14:val="tx1"/>
            </w14:solidFill>
          </w14:textFill>
        </w:rPr>
        <w:t xml:space="preserve"> </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号：</w:t>
      </w:r>
      <w:r>
        <w:rPr>
          <w:rFonts w:hint="eastAsia" w:ascii="仿宋" w:hAnsi="仿宋" w:eastAsia="仿宋" w:cs="仿宋"/>
          <w:b/>
          <w:bCs/>
          <w:i w:val="0"/>
          <w:iCs w:val="0"/>
          <w:caps w:val="0"/>
          <w:color w:val="000000" w:themeColor="text1"/>
          <w:spacing w:val="13"/>
          <w:sz w:val="30"/>
          <w:szCs w:val="30"/>
          <w:u w:val="single"/>
          <w:vertAlign w:val="baseline"/>
          <w:lang w:val="en-US" w:eastAsia="zh-CN"/>
          <w14:textFill>
            <w14:solidFill>
              <w14:schemeClr w14:val="tx1"/>
            </w14:solidFill>
          </w14:textFill>
        </w:rPr>
        <w:t xml:space="preserve">716900380410001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lang w:val="en-US"/>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开户行：</w:t>
      </w:r>
      <w:r>
        <w:rPr>
          <w:rFonts w:hint="eastAsia" w:ascii="仿宋" w:hAnsi="仿宋" w:eastAsia="仿宋" w:cs="仿宋"/>
          <w:b/>
          <w:bCs/>
          <w:i w:val="0"/>
          <w:iCs w:val="0"/>
          <w:caps w:val="0"/>
          <w:color w:val="000000" w:themeColor="text1"/>
          <w:spacing w:val="13"/>
          <w:sz w:val="30"/>
          <w:szCs w:val="30"/>
          <w:u w:val="single"/>
          <w:vertAlign w:val="baseline"/>
          <w:lang w:val="en-US" w:eastAsia="zh-CN"/>
          <w14:textFill>
            <w14:solidFill>
              <w14:schemeClr w14:val="tx1"/>
            </w14:solidFill>
          </w14:textFill>
        </w:rPr>
        <w:t xml:space="preserve">招商银行荆州分行营业部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特别提示：根据与淘宝网的约定，本批次处置车辆成交价款由</w:t>
      </w:r>
      <w:r>
        <w:rPr>
          <w:rFonts w:hint="eastAsia" w:ascii="仿宋" w:hAnsi="仿宋" w:eastAsia="仿宋" w:cs="仿宋"/>
          <w:b/>
          <w:bCs/>
          <w:i w:val="0"/>
          <w:iCs w:val="0"/>
          <w:caps w:val="0"/>
          <w:color w:val="000000" w:themeColor="text1"/>
          <w:spacing w:val="13"/>
          <w:sz w:val="30"/>
          <w:szCs w:val="30"/>
          <w:vertAlign w:val="baseline"/>
          <w:lang w:eastAsia="zh-CN"/>
          <w14:textFill>
            <w14:solidFill>
              <w14:schemeClr w14:val="tx1"/>
            </w14:solidFill>
          </w14:textFill>
        </w:rPr>
        <w:t>荆州市国信产权交易中心有限公司</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向买受人按上述规定直接通过金融机构收取，不接受淘宝网价款支付和退货相关规则约束，买受人请勿通过淘宝网和支付宝在线付款。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2、买受人完成全部款项的支付手续后，交易中心向其出具：成交价款收据、佣金发票。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五、成交后车辆过户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（一）成交车辆的过户手续由买受人自行负责办理。车辆过户手续完成时间依车管部门的办理时间确定。</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因买受人原因无法在竞价结束后7个工作日内（不含竞价结束当日）办理完成车辆转移登记（包括外迁提档）手续，买受人须按逾期天数及罚金标准（50元/每日每辆车）计算缴纳违约金（逾期天数以登记证转移登记日期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（二）非荆州市牌照的车辆过户手续由买受人自行办理，过户时需提车的须先查验交强险是否在有效期内，然后签订《提车过户承诺书》，从提车之日起，过户手续须在10个工作日内完成，</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买受人逾期未完成过户和提交已过户资料的，每逾期1日须支付违约金200元，违约金从过户押金中扣除。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（三）车辆落户地为荆州本市的，买受人为非荆州市居民户籍的，需提供荆州市居住证原件和复印件；买受人为法人的，《组织机构代码证》或三证合一的《营业执照》住址须在荆州市。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（四）落户到荆州市以外的车辆和非荆州市牌照的车辆，由于各地车辆管理部门对车辆入籍有不同规定，请买受人自行详细了解转入地的车辆管理政策、限购政策和环保政策等规定。</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因以转入地车辆管理所不接收为由而造成的一切损失，均由买受人承担，交易中心不予退款和退车。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（五）荆州市牌照车辆办理过户时，按规定需要买受人到场的，买受人应当按照交易中心的通知准时到场，否则，责任自负。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（六）竞买成交的车辆，按规定须重新选择车牌（二手车只能10选1），</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不得继续保留和使用原车牌，</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原车牌由公安交通管理部门收回处理。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（七）竞买成交车辆原保险未到期的免费移交给买受人，需要办理保险变更手续的，由买受人自行办理。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（八）根据相关部门的规定,若竞买车辆为原执法车辆的, 买受人缴清成交价款后，需改变原执法车辆的车身颜色后才能办理车辆过户手续。改变车身颜色产生的一切费用由买受人自行承担。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（九）竞买成交车辆违章记录按规定由车主单位负责消除，如果办理过户时发现有未消除的违章记录，由交易中心协调处理后再行办理过户手续。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六、车辆过户手续确认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买受人办理完结车辆转移登记过户手续后，将该车辆新核发的行驶证、机动车登记证书原件以及各复印件3份送至交易中心，由交易中心查验原件确认无误后，方可退还过户保证金。落户到荆州市以外的车辆的过户押金将由荆州市产权交易中心在收到过户证明资料后的5个工作日内全额无息退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七、提车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买受人提车后，该车辆发生的违章违法、车辆损失、交通事故等一切责任和损失由买受人全部承担，与原车主单位、交易中心无关。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 八、重要提示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（一）车辆竞价的各种文件、表格资料和系统中所涉及的金额均为人民币。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（二）所有处置车辆均按标的现状展示，买受人应当在规定时间到展示现场对车辆现状、配置和相关信息进行实地查验，并慎重选择竞买车辆和出价。</w:t>
      </w:r>
      <w:r>
        <w:rPr>
          <w:rFonts w:hint="eastAsia" w:ascii="仿宋" w:hAnsi="仿宋" w:eastAsia="仿宋" w:cs="仿宋"/>
          <w:b/>
          <w:bCs/>
          <w:i w:val="0"/>
          <w:iCs w:val="0"/>
          <w:caps w:val="0"/>
          <w:color w:val="000000" w:themeColor="text1"/>
          <w:spacing w:val="13"/>
          <w:sz w:val="30"/>
          <w:szCs w:val="30"/>
          <w:vertAlign w:val="baseline"/>
          <w:lang w:eastAsia="zh-CN"/>
          <w14:textFill>
            <w14:solidFill>
              <w14:schemeClr w14:val="tx1"/>
            </w14:solidFill>
          </w14:textFill>
        </w:rPr>
        <w:t>荆州市国信产权交易中心有限公司</w:t>
      </w: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淘宝网以及《车辆明细表》中对车辆的描述和相关信息仅供竞买人参考，其与车辆实际情况不一致的，以车辆实际情况为准和交割，竞买人对发布信息有疑问的应当向展示现场工作人员提出咨询，竞买人一旦参与报价则视为对此知悉和接受，对发布的车辆信息没有疑问和异议，并自行承担竞买风险，交易中心不接受买受人以此为由的退车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（三）竞买人须妥善保管本人的账户名称及密码，任何以注册账户登录和参与竞买的操作，均视为本人的行为，交易中心和淘宝网均不承担任何责任。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（四）办理车辆过户的主体一般应当与竞买人在淘宝注册并实名认证的竞买主体为同一人。若不一致，应在交易中心签署《委托代理人竞买车辆证明书》。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五）若因车辆本身原因（买受人提车后责任除外）或车主单位原因，经交管部门确认无法办理过户或提档手续的，由交易中心将已收取的佣金、成交价款、过户押金、相关税费等款项全额无息退还，交易中心和车主单位方不承担其他费用。车辆一旦完成过户手续，则不接受任何退车退款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（六）因竞买人如下行为产生的一切后果，由竞买人自行承担。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1、因买受人自身原因未在公告规定时间内到车辆展示现场对车辆现状、配置和车辆相关信息进行实地查验细节、衡量车况而导致其竞得车辆的实际情况与交易中心在网站上公布的《车辆明细表》、《车辆评估技术状况表》中对车辆的描述和相关信息不一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2、因淘宝用户账户、支付宝账户注册不及时或保证金交纳不及时而导致注册账户无法参与竞买的；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3、所填写的信息不真实、不准确或不完整而造成注册账户无法激活、竞买保证金无法交纳退还、车辆转移登记手续及提档手续无法办理的；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4、未及时关注相关竞价活动信息的；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5、由于竞买人自身的终端设备和网络异常等原因导致无法正常报价的；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6、网络竞价的时间以竞价页面时间为准，由于竞买人自身终端设备时间与竞价页面时间不符而导致未按时参与竞价的。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（七）因不可抗力、软硬件（技术）故障、非法入侵、恶意攻击等原因而导致网站服务异常、网络竞价中断或竞价结果异常的，交易各方均不承担责任。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九、其他事项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1、网络竞价的《竞买公告》、《竞买规则及须知》等规定和网络竞价系列资料，均作为《网络竞价成交确认书》的有效附件，并与其具有同等的法律效力。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2、若因情况变化，交易中心有权对本须知进行修改，具体以荆州市产权交易网发布的《竞买公告》和《竞买规则及须知》或补充、修改通知等内容为准。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3、竞买业务咨询电话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荆州市</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固定电话： 0716-4088513   13227652000李经理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4、淘宝网技术咨询电话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淘宝网咨询电话：400-822-2870；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5"/>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bCs/>
          <w:i w:val="0"/>
          <w:iCs w:val="0"/>
          <w:caps w:val="0"/>
          <w:color w:val="000000" w:themeColor="text1"/>
          <w:spacing w:val="13"/>
          <w:sz w:val="30"/>
          <w:szCs w:val="30"/>
          <w:vertAlign w:val="baseline"/>
          <w14:textFill>
            <w14:solidFill>
              <w14:schemeClr w14:val="tx1"/>
            </w14:solidFill>
          </w14:textFill>
        </w:rPr>
        <w:t>支付宝：95188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563"/>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5、本须知最终解释权归荆州市</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所有。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334"/>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334"/>
        <w:jc w:val="right"/>
        <w:textAlignment w:val="baseline"/>
        <w:rPr>
          <w:rFonts w:hint="eastAsia" w:ascii="仿宋" w:hAnsi="仿宋" w:eastAsia="仿宋" w:cs="仿宋"/>
          <w:b w:val="0"/>
          <w:bCs w:val="0"/>
          <w:i w:val="0"/>
          <w:iCs w:val="0"/>
          <w:caps w:val="0"/>
          <w:color w:val="000000" w:themeColor="text1"/>
          <w:spacing w:val="0"/>
          <w:sz w:val="21"/>
          <w:szCs w:val="21"/>
          <w14:textFill>
            <w14:solidFill>
              <w14:schemeClr w14:val="tx1"/>
            </w14:solidFill>
          </w14:textFill>
        </w:rPr>
      </w:pPr>
      <w:r>
        <w:rPr>
          <w:rFonts w:hint="eastAsia" w:ascii="仿宋" w:hAnsi="仿宋" w:eastAsia="仿宋" w:cs="仿宋"/>
          <w:b w:val="0"/>
          <w:bCs w:val="0"/>
          <w:i w:val="0"/>
          <w:iCs w:val="0"/>
          <w:caps w:val="0"/>
          <w:color w:val="000000" w:themeColor="text1"/>
          <w:spacing w:val="13"/>
          <w:sz w:val="30"/>
          <w:szCs w:val="30"/>
          <w:vertAlign w:val="baseline"/>
          <w14:textFill>
            <w14:solidFill>
              <w14:schemeClr w14:val="tx1"/>
            </w14:solidFill>
          </w14:textFill>
        </w:rPr>
        <w:t>荆州市</w:t>
      </w:r>
      <w:r>
        <w:rPr>
          <w:rFonts w:hint="eastAsia" w:ascii="仿宋" w:hAnsi="仿宋" w:eastAsia="仿宋" w:cs="仿宋"/>
          <w:b w:val="0"/>
          <w:bCs w:val="0"/>
          <w:i w:val="0"/>
          <w:iCs w:val="0"/>
          <w:caps w:val="0"/>
          <w:color w:val="000000" w:themeColor="text1"/>
          <w:spacing w:val="0"/>
          <w:sz w:val="30"/>
          <w:szCs w:val="30"/>
          <w:vertAlign w:val="baseline"/>
          <w:lang w:eastAsia="zh-CN"/>
          <w14:textFill>
            <w14:solidFill>
              <w14:schemeClr w14:val="tx1"/>
            </w14:solidFill>
          </w14:textFill>
        </w:rPr>
        <w:t>国信产权交易中心有限公司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 </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3MjBiZjNjNTA0ZGVmZTE2MWZhMmQzMGVmNzIyZTEifQ=="/>
  </w:docVars>
  <w:rsids>
    <w:rsidRoot w:val="28803AF0"/>
    <w:rsid w:val="09D14102"/>
    <w:rsid w:val="0E0D02E2"/>
    <w:rsid w:val="164B78DC"/>
    <w:rsid w:val="19FF2304"/>
    <w:rsid w:val="1F531644"/>
    <w:rsid w:val="227036C8"/>
    <w:rsid w:val="2613738E"/>
    <w:rsid w:val="28803AF0"/>
    <w:rsid w:val="2EB81177"/>
    <w:rsid w:val="34293C5E"/>
    <w:rsid w:val="3F5272C1"/>
    <w:rsid w:val="558F6A1A"/>
    <w:rsid w:val="57D04D1F"/>
    <w:rsid w:val="5D634910"/>
    <w:rsid w:val="61FF41C2"/>
    <w:rsid w:val="642D25DD"/>
    <w:rsid w:val="65674A89"/>
    <w:rsid w:val="6E365146"/>
    <w:rsid w:val="79CF3D1B"/>
    <w:rsid w:val="79E968DD"/>
    <w:rsid w:val="7CA2567C"/>
    <w:rsid w:val="7D036950"/>
    <w:rsid w:val="7D10252F"/>
    <w:rsid w:val="7E57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5872</Words>
  <Characters>6041</Characters>
  <Lines>0</Lines>
  <Paragraphs>0</Paragraphs>
  <TotalTime>0</TotalTime>
  <ScaleCrop>false</ScaleCrop>
  <LinksUpToDate>false</LinksUpToDate>
  <CharactersWithSpaces>6072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2021-06-29T01:16:00Z</dcterms:created>
  <dc:creator>撒旦 ⚡ </dc:creator>
  <cp:lastModifiedBy>撒旦 ⚡ </cp:lastModifiedBy>
  <dcterms:modified xsi:type="dcterms:W3CDTF">2024-04-07T07:53:08Z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92658889B9414147A2021DEFE7706C7E_13</vt:lpwstr>
  </property>
</Properties>
</file>